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C131" w14:textId="77777777" w:rsidR="005D5135" w:rsidRPr="00743DB0" w:rsidRDefault="005D5135" w:rsidP="005D51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lang w:val="en-CA"/>
        </w:rPr>
      </w:pPr>
      <w:r w:rsidRPr="00743DB0"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  <w:t>Supplementary Materials</w:t>
      </w:r>
    </w:p>
    <w:p w14:paraId="6D0050BC" w14:textId="77777777" w:rsidR="005D5135" w:rsidRPr="00743DB0" w:rsidRDefault="005D5135" w:rsidP="005D51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lang w:val="en-CA"/>
        </w:rPr>
      </w:pPr>
      <w:r w:rsidRPr="00743DB0"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  <w:t xml:space="preserve">Supplementary table 1 – Interaction Effects of Variables with the Diet Group on the Primary Outcome.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5D5135" w:rsidRPr="00743DB0" w14:paraId="59DCE0B3" w14:textId="77777777" w:rsidTr="002025B6">
        <w:tc>
          <w:tcPr>
            <w:tcW w:w="2880" w:type="dxa"/>
          </w:tcPr>
          <w:p w14:paraId="402637A1" w14:textId="77777777" w:rsidR="005D5135" w:rsidRPr="00AC7631" w:rsidRDefault="005D5135" w:rsidP="002025B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Interaction Variable</w:t>
            </w:r>
          </w:p>
        </w:tc>
        <w:tc>
          <w:tcPr>
            <w:tcW w:w="2880" w:type="dxa"/>
          </w:tcPr>
          <w:p w14:paraId="1530F4BB" w14:textId="77777777" w:rsidR="005D5135" w:rsidRPr="00AC7631" w:rsidRDefault="005D5135" w:rsidP="002025B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HR (95% CI)</w:t>
            </w:r>
          </w:p>
        </w:tc>
        <w:tc>
          <w:tcPr>
            <w:tcW w:w="2880" w:type="dxa"/>
          </w:tcPr>
          <w:p w14:paraId="12296A3A" w14:textId="77777777" w:rsidR="005D5135" w:rsidRPr="00AC7631" w:rsidRDefault="005D5135" w:rsidP="002025B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p-value</w:t>
            </w:r>
          </w:p>
        </w:tc>
      </w:tr>
      <w:tr w:rsidR="005D5135" w:rsidRPr="00743DB0" w14:paraId="10ED3C37" w14:textId="77777777" w:rsidTr="002025B6">
        <w:tc>
          <w:tcPr>
            <w:tcW w:w="2880" w:type="dxa"/>
          </w:tcPr>
          <w:p w14:paraId="09A5249F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Age</w:t>
            </w:r>
          </w:p>
        </w:tc>
        <w:tc>
          <w:tcPr>
            <w:tcW w:w="2880" w:type="dxa"/>
          </w:tcPr>
          <w:p w14:paraId="1F7AA954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1.09 (0.96 - 1.23)</w:t>
            </w:r>
          </w:p>
        </w:tc>
        <w:tc>
          <w:tcPr>
            <w:tcW w:w="2880" w:type="dxa"/>
          </w:tcPr>
          <w:p w14:paraId="3FBEAC85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0.155</w:t>
            </w:r>
          </w:p>
        </w:tc>
      </w:tr>
      <w:tr w:rsidR="005D5135" w:rsidRPr="00743DB0" w14:paraId="02DEBE1E" w14:textId="77777777" w:rsidTr="002025B6">
        <w:tc>
          <w:tcPr>
            <w:tcW w:w="2880" w:type="dxa"/>
          </w:tcPr>
          <w:p w14:paraId="782BD1E9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Obesity</w:t>
            </w:r>
          </w:p>
        </w:tc>
        <w:tc>
          <w:tcPr>
            <w:tcW w:w="2880" w:type="dxa"/>
          </w:tcPr>
          <w:p w14:paraId="4420BFDF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2.86 (0.22 - 7.42)</w:t>
            </w:r>
          </w:p>
        </w:tc>
        <w:tc>
          <w:tcPr>
            <w:tcW w:w="2880" w:type="dxa"/>
          </w:tcPr>
          <w:p w14:paraId="376D9AF7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0.285</w:t>
            </w:r>
          </w:p>
        </w:tc>
      </w:tr>
      <w:tr w:rsidR="005D5135" w:rsidRPr="00743DB0" w14:paraId="040DF65E" w14:textId="77777777" w:rsidTr="002025B6">
        <w:tc>
          <w:tcPr>
            <w:tcW w:w="2880" w:type="dxa"/>
          </w:tcPr>
          <w:p w14:paraId="363023D8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Diabetes</w:t>
            </w:r>
          </w:p>
        </w:tc>
        <w:tc>
          <w:tcPr>
            <w:tcW w:w="2880" w:type="dxa"/>
          </w:tcPr>
          <w:p w14:paraId="6FDBEFFB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0.15 (0.08 - 0.33)</w:t>
            </w:r>
          </w:p>
        </w:tc>
        <w:tc>
          <w:tcPr>
            <w:tcW w:w="2880" w:type="dxa"/>
          </w:tcPr>
          <w:p w14:paraId="63927135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0.001</w:t>
            </w:r>
          </w:p>
        </w:tc>
      </w:tr>
      <w:tr w:rsidR="005D5135" w:rsidRPr="00743DB0" w14:paraId="4667435E" w14:textId="77777777" w:rsidTr="002025B6">
        <w:tc>
          <w:tcPr>
            <w:tcW w:w="2880" w:type="dxa"/>
          </w:tcPr>
          <w:p w14:paraId="26B12E25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Cardiovascular Events</w:t>
            </w:r>
          </w:p>
        </w:tc>
        <w:tc>
          <w:tcPr>
            <w:tcW w:w="2880" w:type="dxa"/>
          </w:tcPr>
          <w:p w14:paraId="76440B8B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2.58 (0.64 – 6.25)</w:t>
            </w:r>
          </w:p>
        </w:tc>
        <w:tc>
          <w:tcPr>
            <w:tcW w:w="2880" w:type="dxa"/>
          </w:tcPr>
          <w:p w14:paraId="2B7BC5FD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0.085</w:t>
            </w:r>
          </w:p>
        </w:tc>
      </w:tr>
      <w:tr w:rsidR="005D5135" w:rsidRPr="00743DB0" w14:paraId="2406A8EC" w14:textId="77777777" w:rsidTr="002025B6">
        <w:tc>
          <w:tcPr>
            <w:tcW w:w="2880" w:type="dxa"/>
          </w:tcPr>
          <w:p w14:paraId="0290396E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proofErr w:type="spellStart"/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RAASi</w:t>
            </w:r>
            <w:proofErr w:type="spellEnd"/>
          </w:p>
        </w:tc>
        <w:tc>
          <w:tcPr>
            <w:tcW w:w="2880" w:type="dxa"/>
          </w:tcPr>
          <w:p w14:paraId="71F7E0FD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0.27 (0.12 - 0.39)</w:t>
            </w:r>
          </w:p>
        </w:tc>
        <w:tc>
          <w:tcPr>
            <w:tcW w:w="2880" w:type="dxa"/>
          </w:tcPr>
          <w:p w14:paraId="4D7F344F" w14:textId="77777777" w:rsidR="005D5135" w:rsidRPr="00743DB0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743DB0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0.021</w:t>
            </w:r>
          </w:p>
        </w:tc>
      </w:tr>
    </w:tbl>
    <w:p w14:paraId="2E8B20A1" w14:textId="65AF099A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lang w:val="en-CA"/>
        </w:rPr>
      </w:pPr>
    </w:p>
    <w:p w14:paraId="07103EC7" w14:textId="15CFD480" w:rsidR="00AC7631" w:rsidRDefault="00AC7631" w:rsidP="005D5135">
      <w:pPr>
        <w:spacing w:line="360" w:lineRule="auto"/>
        <w:rPr>
          <w:rFonts w:ascii="Times New Roman" w:hAnsi="Times New Roman" w:cs="Times New Roman"/>
          <w:b/>
          <w:bCs/>
          <w:color w:val="FF0000"/>
          <w:sz w:val="20"/>
          <w:szCs w:val="20"/>
          <w:lang w:val="en-CA"/>
        </w:rPr>
      </w:pPr>
      <w:proofErr w:type="spellStart"/>
      <w:r>
        <w:rPr>
          <w:rFonts w:ascii="Times New Roman" w:hAnsi="Times New Roman" w:cs="Times New Roman"/>
          <w:b/>
          <w:bCs/>
          <w:color w:val="FF0000"/>
          <w:sz w:val="20"/>
          <w:szCs w:val="20"/>
          <w:lang w:val="en-CA"/>
        </w:rPr>
        <w:t>Supplemetary</w:t>
      </w:r>
      <w:proofErr w:type="spellEnd"/>
      <w:r>
        <w:rPr>
          <w:rFonts w:ascii="Times New Roman" w:hAnsi="Times New Roman" w:cs="Times New Roman"/>
          <w:b/>
          <w:bCs/>
          <w:color w:val="FF0000"/>
          <w:sz w:val="20"/>
          <w:szCs w:val="20"/>
          <w:lang w:val="en-CA"/>
        </w:rPr>
        <w:t xml:space="preserve"> Table 2. </w:t>
      </w:r>
      <w:r w:rsidRPr="00AC7631">
        <w:rPr>
          <w:rFonts w:ascii="Times New Roman" w:hAnsi="Times New Roman" w:cs="Times New Roman"/>
          <w:b/>
          <w:bCs/>
          <w:color w:val="FF0000"/>
          <w:sz w:val="20"/>
          <w:szCs w:val="20"/>
          <w:lang w:val="en-CA"/>
        </w:rPr>
        <w:t>Sub</w:t>
      </w:r>
      <w:r w:rsidR="00FD4DDB">
        <w:rPr>
          <w:rFonts w:ascii="Times New Roman" w:hAnsi="Times New Roman" w:cs="Times New Roman"/>
          <w:b/>
          <w:bCs/>
          <w:color w:val="FF0000"/>
          <w:sz w:val="20"/>
          <w:szCs w:val="20"/>
          <w:lang w:val="en-CA"/>
        </w:rPr>
        <w:t>-</w:t>
      </w:r>
      <w:r w:rsidRPr="00AC7631">
        <w:rPr>
          <w:rFonts w:ascii="Times New Roman" w:hAnsi="Times New Roman" w:cs="Times New Roman"/>
          <w:b/>
          <w:bCs/>
          <w:color w:val="FF0000"/>
          <w:sz w:val="20"/>
          <w:szCs w:val="20"/>
          <w:lang w:val="en-CA"/>
        </w:rPr>
        <w:t>distribution Hazard Ratio (SHR) and 95% Confidence Intervals (CI) for each component of the composite outcome (ESKD, death, non-fatal cardiovascular event), analyzed using Fine-Gray regression. The diet group shows a significant reduction in the cumulative risk of ESKD, while no significant differences are observed for the other components.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AC7631" w:rsidRPr="003F3EFA" w14:paraId="732B8DE3" w14:textId="77777777" w:rsidTr="00AC7631">
        <w:trPr>
          <w:trHeight w:val="436"/>
        </w:trPr>
        <w:tc>
          <w:tcPr>
            <w:tcW w:w="2160" w:type="dxa"/>
          </w:tcPr>
          <w:p w14:paraId="3E7ACAD9" w14:textId="77777777" w:rsidR="00AC7631" w:rsidRPr="00AC7631" w:rsidRDefault="00AC7631" w:rsidP="000015F9">
            <w:pPr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AC7631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val="en-CA"/>
              </w:rPr>
              <w:t>Components</w:t>
            </w:r>
          </w:p>
        </w:tc>
        <w:tc>
          <w:tcPr>
            <w:tcW w:w="2160" w:type="dxa"/>
          </w:tcPr>
          <w:p w14:paraId="07C4AE8B" w14:textId="77777777" w:rsidR="00AC7631" w:rsidRPr="00AC7631" w:rsidRDefault="00AC7631" w:rsidP="000015F9">
            <w:pPr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AC7631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val="en-CA"/>
              </w:rPr>
              <w:t>SHR</w:t>
            </w:r>
          </w:p>
        </w:tc>
        <w:tc>
          <w:tcPr>
            <w:tcW w:w="2160" w:type="dxa"/>
          </w:tcPr>
          <w:p w14:paraId="1F68B775" w14:textId="77777777" w:rsidR="00AC7631" w:rsidRPr="00AC7631" w:rsidRDefault="00AC7631" w:rsidP="000015F9">
            <w:pPr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AC7631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val="en-CA"/>
              </w:rPr>
              <w:t>95% CI</w:t>
            </w:r>
          </w:p>
        </w:tc>
        <w:tc>
          <w:tcPr>
            <w:tcW w:w="2160" w:type="dxa"/>
          </w:tcPr>
          <w:p w14:paraId="0F52B662" w14:textId="77777777" w:rsidR="00AC7631" w:rsidRPr="00AC7631" w:rsidRDefault="00AC7631" w:rsidP="000015F9">
            <w:pPr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AC7631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val="en-CA"/>
              </w:rPr>
              <w:t>p-</w:t>
            </w:r>
            <w:proofErr w:type="spellStart"/>
            <w:r w:rsidRPr="00AC7631">
              <w:rPr>
                <w:rFonts w:ascii="Times New Roman" w:eastAsiaTheme="minorHAnsi" w:hAnsi="Times New Roman" w:cs="Times New Roman"/>
                <w:b/>
                <w:bCs/>
                <w:sz w:val="20"/>
                <w:szCs w:val="20"/>
                <w:lang w:val="en-CA"/>
              </w:rPr>
              <w:t>value</w:t>
            </w:r>
            <w:proofErr w:type="spellEnd"/>
          </w:p>
        </w:tc>
      </w:tr>
      <w:tr w:rsidR="00AC7631" w:rsidRPr="00AC7631" w14:paraId="1EA025BA" w14:textId="77777777" w:rsidTr="00AC7631">
        <w:tc>
          <w:tcPr>
            <w:tcW w:w="2160" w:type="dxa"/>
          </w:tcPr>
          <w:p w14:paraId="68EF37D2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ESKD</w:t>
            </w:r>
          </w:p>
        </w:tc>
        <w:tc>
          <w:tcPr>
            <w:tcW w:w="2160" w:type="dxa"/>
          </w:tcPr>
          <w:p w14:paraId="3C3D64F5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0.158</w:t>
            </w:r>
          </w:p>
        </w:tc>
        <w:tc>
          <w:tcPr>
            <w:tcW w:w="2160" w:type="dxa"/>
          </w:tcPr>
          <w:p w14:paraId="1A56D38A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0.071 – 0.352</w:t>
            </w:r>
          </w:p>
        </w:tc>
        <w:tc>
          <w:tcPr>
            <w:tcW w:w="2160" w:type="dxa"/>
          </w:tcPr>
          <w:p w14:paraId="0FFE0205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&lt;0.001</w:t>
            </w:r>
          </w:p>
        </w:tc>
      </w:tr>
      <w:tr w:rsidR="00AC7631" w:rsidRPr="00AC7631" w14:paraId="1E425E1A" w14:textId="77777777" w:rsidTr="00AC7631">
        <w:tc>
          <w:tcPr>
            <w:tcW w:w="2160" w:type="dxa"/>
          </w:tcPr>
          <w:p w14:paraId="00D414FC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Death</w:t>
            </w:r>
          </w:p>
        </w:tc>
        <w:tc>
          <w:tcPr>
            <w:tcW w:w="2160" w:type="dxa"/>
          </w:tcPr>
          <w:p w14:paraId="6335B4CD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0.323</w:t>
            </w:r>
          </w:p>
        </w:tc>
        <w:tc>
          <w:tcPr>
            <w:tcW w:w="2160" w:type="dxa"/>
          </w:tcPr>
          <w:p w14:paraId="1E661197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0.062 – 1.69</w:t>
            </w:r>
          </w:p>
        </w:tc>
        <w:tc>
          <w:tcPr>
            <w:tcW w:w="2160" w:type="dxa"/>
          </w:tcPr>
          <w:p w14:paraId="4CBD8920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0.18</w:t>
            </w:r>
          </w:p>
        </w:tc>
      </w:tr>
      <w:tr w:rsidR="00AC7631" w:rsidRPr="00AC7631" w14:paraId="1100C99D" w14:textId="77777777" w:rsidTr="00AC7631">
        <w:tc>
          <w:tcPr>
            <w:tcW w:w="2160" w:type="dxa"/>
          </w:tcPr>
          <w:p w14:paraId="7320DE3D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Non-fatal CV event</w:t>
            </w:r>
          </w:p>
        </w:tc>
        <w:tc>
          <w:tcPr>
            <w:tcW w:w="2160" w:type="dxa"/>
          </w:tcPr>
          <w:p w14:paraId="4EFABF59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0.921</w:t>
            </w:r>
          </w:p>
        </w:tc>
        <w:tc>
          <w:tcPr>
            <w:tcW w:w="2160" w:type="dxa"/>
          </w:tcPr>
          <w:p w14:paraId="048B9679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0.296 – 2.87</w:t>
            </w:r>
          </w:p>
        </w:tc>
        <w:tc>
          <w:tcPr>
            <w:tcW w:w="2160" w:type="dxa"/>
          </w:tcPr>
          <w:p w14:paraId="7A184AF6" w14:textId="77777777" w:rsidR="00AC7631" w:rsidRPr="00AC7631" w:rsidRDefault="00AC7631" w:rsidP="00AC7631">
            <w:pPr>
              <w:spacing w:after="160"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AC763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0.89</w:t>
            </w:r>
          </w:p>
        </w:tc>
      </w:tr>
    </w:tbl>
    <w:p w14:paraId="5BFB43A6" w14:textId="77777777" w:rsidR="00AC7631" w:rsidRPr="00AC7631" w:rsidRDefault="00AC7631" w:rsidP="005D5135">
      <w:pPr>
        <w:spacing w:line="360" w:lineRule="auto"/>
        <w:rPr>
          <w:rFonts w:ascii="Times New Roman" w:hAnsi="Times New Roman" w:cs="Times New Roman"/>
          <w:sz w:val="20"/>
          <w:szCs w:val="20"/>
          <w:lang w:val="en-CA"/>
        </w:rPr>
      </w:pPr>
    </w:p>
    <w:p w14:paraId="2A6F917D" w14:textId="77777777" w:rsidR="005D5135" w:rsidRPr="00743DB0" w:rsidRDefault="005D5135" w:rsidP="005D51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lang w:val="en-CA"/>
        </w:rPr>
      </w:pPr>
    </w:p>
    <w:p w14:paraId="152D2973" w14:textId="77777777" w:rsidR="005D5135" w:rsidRPr="00743DB0" w:rsidRDefault="005D5135" w:rsidP="005D51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lang w:val="en-CA"/>
        </w:rPr>
      </w:pPr>
    </w:p>
    <w:p w14:paraId="009BEDBC" w14:textId="16E837BD" w:rsidR="005D5135" w:rsidRPr="00743DB0" w:rsidRDefault="005D5135" w:rsidP="005D51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lang w:val="en-CA"/>
        </w:rPr>
      </w:pPr>
      <w:r w:rsidRPr="00743DB0"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  <w:t xml:space="preserve">Supplementary table </w:t>
      </w:r>
      <w:r w:rsidRPr="00AC7631">
        <w:rPr>
          <w:rFonts w:ascii="Times New Roman" w:hAnsi="Times New Roman" w:cs="Times New Roman"/>
          <w:b/>
          <w:bCs/>
          <w:iCs/>
          <w:strike/>
          <w:color w:val="0070C0"/>
          <w:sz w:val="20"/>
          <w:szCs w:val="20"/>
          <w:lang w:val="en-CA"/>
        </w:rPr>
        <w:t>2</w:t>
      </w:r>
      <w:r w:rsidRPr="00743DB0"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  <w:t xml:space="preserve"> </w:t>
      </w:r>
      <w:r w:rsidR="00AC7631"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  <w:t xml:space="preserve"> </w:t>
      </w:r>
      <w:r w:rsidR="00AC7631">
        <w:rPr>
          <w:rFonts w:ascii="Times New Roman" w:hAnsi="Times New Roman" w:cs="Times New Roman"/>
          <w:b/>
          <w:bCs/>
          <w:iCs/>
          <w:color w:val="FF0000"/>
          <w:sz w:val="20"/>
          <w:szCs w:val="20"/>
          <w:lang w:val="en-CA"/>
        </w:rPr>
        <w:t>3</w:t>
      </w:r>
      <w:r w:rsidRPr="00743DB0"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  <w:t>– Sensitivity Analyses for the Effect of the Diet Group on Outcomes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90"/>
        <w:gridCol w:w="782"/>
        <w:gridCol w:w="1437"/>
        <w:gridCol w:w="664"/>
        <w:gridCol w:w="1149"/>
        <w:gridCol w:w="9"/>
        <w:gridCol w:w="651"/>
        <w:gridCol w:w="1121"/>
        <w:gridCol w:w="651"/>
        <w:gridCol w:w="1184"/>
      </w:tblGrid>
      <w:tr w:rsidR="005D5135" w:rsidRPr="003173B8" w14:paraId="4E51A04C" w14:textId="77777777" w:rsidTr="002025B6">
        <w:tc>
          <w:tcPr>
            <w:tcW w:w="2127" w:type="dxa"/>
          </w:tcPr>
          <w:p w14:paraId="78FBE750" w14:textId="77777777" w:rsidR="005D5135" w:rsidRPr="003173B8" w:rsidRDefault="005D5135" w:rsidP="002025B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</w:p>
        </w:tc>
        <w:tc>
          <w:tcPr>
            <w:tcW w:w="2372" w:type="dxa"/>
            <w:gridSpan w:val="2"/>
          </w:tcPr>
          <w:p w14:paraId="72E5D3BC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Crude</w:t>
            </w:r>
          </w:p>
        </w:tc>
        <w:tc>
          <w:tcPr>
            <w:tcW w:w="1891" w:type="dxa"/>
            <w:gridSpan w:val="2"/>
          </w:tcPr>
          <w:p w14:paraId="75F8B96C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Sensitivity 1</w:t>
            </w:r>
          </w:p>
        </w:tc>
        <w:tc>
          <w:tcPr>
            <w:tcW w:w="1867" w:type="dxa"/>
            <w:gridSpan w:val="3"/>
          </w:tcPr>
          <w:p w14:paraId="61EE5440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Sensitivity 2</w:t>
            </w:r>
          </w:p>
        </w:tc>
        <w:tc>
          <w:tcPr>
            <w:tcW w:w="1931" w:type="dxa"/>
            <w:gridSpan w:val="2"/>
          </w:tcPr>
          <w:p w14:paraId="0F230A5F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Sensitivity 3</w:t>
            </w:r>
          </w:p>
        </w:tc>
      </w:tr>
      <w:tr w:rsidR="005D5135" w:rsidRPr="003173B8" w14:paraId="32387A86" w14:textId="77777777" w:rsidTr="002025B6">
        <w:tc>
          <w:tcPr>
            <w:tcW w:w="2127" w:type="dxa"/>
          </w:tcPr>
          <w:p w14:paraId="2C7F6FE2" w14:textId="77777777" w:rsidR="005D5135" w:rsidRPr="003173B8" w:rsidRDefault="005D5135" w:rsidP="002025B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Outcome</w:t>
            </w:r>
          </w:p>
        </w:tc>
        <w:tc>
          <w:tcPr>
            <w:tcW w:w="814" w:type="dxa"/>
          </w:tcPr>
          <w:p w14:paraId="2FF3F6A3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HR</w:t>
            </w:r>
          </w:p>
        </w:tc>
        <w:tc>
          <w:tcPr>
            <w:tcW w:w="1558" w:type="dxa"/>
          </w:tcPr>
          <w:p w14:paraId="3D499445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95% CI</w:t>
            </w:r>
          </w:p>
        </w:tc>
        <w:tc>
          <w:tcPr>
            <w:tcW w:w="664" w:type="dxa"/>
          </w:tcPr>
          <w:p w14:paraId="4AC9F8BA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HR</w:t>
            </w:r>
          </w:p>
        </w:tc>
        <w:tc>
          <w:tcPr>
            <w:tcW w:w="1236" w:type="dxa"/>
            <w:gridSpan w:val="2"/>
          </w:tcPr>
          <w:p w14:paraId="4157D35C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95% CI</w:t>
            </w:r>
          </w:p>
        </w:tc>
        <w:tc>
          <w:tcPr>
            <w:tcW w:w="664" w:type="dxa"/>
          </w:tcPr>
          <w:p w14:paraId="61543774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HR</w:t>
            </w:r>
          </w:p>
        </w:tc>
        <w:tc>
          <w:tcPr>
            <w:tcW w:w="1194" w:type="dxa"/>
          </w:tcPr>
          <w:p w14:paraId="76E03E78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95% CI</w:t>
            </w:r>
          </w:p>
        </w:tc>
        <w:tc>
          <w:tcPr>
            <w:tcW w:w="664" w:type="dxa"/>
          </w:tcPr>
          <w:p w14:paraId="13C97FED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HR</w:t>
            </w:r>
          </w:p>
        </w:tc>
        <w:tc>
          <w:tcPr>
            <w:tcW w:w="1267" w:type="dxa"/>
          </w:tcPr>
          <w:p w14:paraId="343D642A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95% CI</w:t>
            </w:r>
          </w:p>
        </w:tc>
      </w:tr>
      <w:tr w:rsidR="005D5135" w:rsidRPr="003173B8" w14:paraId="3A7C0C5D" w14:textId="77777777" w:rsidTr="002025B6">
        <w:tc>
          <w:tcPr>
            <w:tcW w:w="2127" w:type="dxa"/>
          </w:tcPr>
          <w:p w14:paraId="3BC1234C" w14:textId="77777777" w:rsidR="005D5135" w:rsidRPr="003173B8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Composite</w:t>
            </w:r>
          </w:p>
        </w:tc>
        <w:tc>
          <w:tcPr>
            <w:tcW w:w="814" w:type="dxa"/>
          </w:tcPr>
          <w:p w14:paraId="7B73F26C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0.19</w:t>
            </w:r>
          </w:p>
        </w:tc>
        <w:tc>
          <w:tcPr>
            <w:tcW w:w="1558" w:type="dxa"/>
          </w:tcPr>
          <w:p w14:paraId="2A2814F1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0.09-0.38</w:t>
            </w:r>
          </w:p>
        </w:tc>
        <w:tc>
          <w:tcPr>
            <w:tcW w:w="664" w:type="dxa"/>
          </w:tcPr>
          <w:p w14:paraId="5EB83731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0.17</w:t>
            </w:r>
          </w:p>
        </w:tc>
        <w:tc>
          <w:tcPr>
            <w:tcW w:w="1236" w:type="dxa"/>
            <w:gridSpan w:val="2"/>
          </w:tcPr>
          <w:p w14:paraId="5C2A443E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0.07-0.40</w:t>
            </w:r>
          </w:p>
        </w:tc>
        <w:tc>
          <w:tcPr>
            <w:tcW w:w="664" w:type="dxa"/>
          </w:tcPr>
          <w:p w14:paraId="5C88D883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0.19</w:t>
            </w:r>
          </w:p>
        </w:tc>
        <w:tc>
          <w:tcPr>
            <w:tcW w:w="1194" w:type="dxa"/>
          </w:tcPr>
          <w:p w14:paraId="08E6F934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0.09-0.43</w:t>
            </w:r>
          </w:p>
        </w:tc>
        <w:tc>
          <w:tcPr>
            <w:tcW w:w="664" w:type="dxa"/>
          </w:tcPr>
          <w:p w14:paraId="1FF2EAAD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0.15</w:t>
            </w:r>
          </w:p>
        </w:tc>
        <w:tc>
          <w:tcPr>
            <w:tcW w:w="1267" w:type="dxa"/>
          </w:tcPr>
          <w:p w14:paraId="4521BDD2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0.05-0.44</w:t>
            </w:r>
          </w:p>
        </w:tc>
      </w:tr>
      <w:tr w:rsidR="005D5135" w:rsidRPr="003173B8" w14:paraId="50246991" w14:textId="77777777" w:rsidTr="002025B6">
        <w:tc>
          <w:tcPr>
            <w:tcW w:w="2127" w:type="dxa"/>
          </w:tcPr>
          <w:p w14:paraId="43F314EA" w14:textId="77777777" w:rsidR="005D5135" w:rsidRPr="003173B8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ESRD</w:t>
            </w:r>
          </w:p>
        </w:tc>
        <w:tc>
          <w:tcPr>
            <w:tcW w:w="814" w:type="dxa"/>
          </w:tcPr>
          <w:p w14:paraId="5F7639A3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0.16</w:t>
            </w:r>
          </w:p>
        </w:tc>
        <w:tc>
          <w:tcPr>
            <w:tcW w:w="1558" w:type="dxa"/>
          </w:tcPr>
          <w:p w14:paraId="558DF9E1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0.07-0.39</w:t>
            </w:r>
          </w:p>
        </w:tc>
        <w:tc>
          <w:tcPr>
            <w:tcW w:w="664" w:type="dxa"/>
          </w:tcPr>
          <w:p w14:paraId="42B81A82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0.13</w:t>
            </w:r>
          </w:p>
        </w:tc>
        <w:tc>
          <w:tcPr>
            <w:tcW w:w="1236" w:type="dxa"/>
            <w:gridSpan w:val="2"/>
          </w:tcPr>
          <w:p w14:paraId="2BDDCB0A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0.05-0.37</w:t>
            </w:r>
          </w:p>
        </w:tc>
        <w:tc>
          <w:tcPr>
            <w:tcW w:w="664" w:type="dxa"/>
          </w:tcPr>
          <w:p w14:paraId="76C301FE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0.16</w:t>
            </w:r>
          </w:p>
        </w:tc>
        <w:tc>
          <w:tcPr>
            <w:tcW w:w="1194" w:type="dxa"/>
          </w:tcPr>
          <w:p w14:paraId="3230526E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0.06-0.42</w:t>
            </w:r>
          </w:p>
        </w:tc>
        <w:tc>
          <w:tcPr>
            <w:tcW w:w="664" w:type="dxa"/>
          </w:tcPr>
          <w:p w14:paraId="02D701D5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0.13</w:t>
            </w:r>
          </w:p>
        </w:tc>
        <w:tc>
          <w:tcPr>
            <w:tcW w:w="1267" w:type="dxa"/>
          </w:tcPr>
          <w:p w14:paraId="0D6E00E1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0.03-0.47</w:t>
            </w:r>
          </w:p>
        </w:tc>
      </w:tr>
      <w:tr w:rsidR="005D5135" w:rsidRPr="003173B8" w14:paraId="692D0935" w14:textId="77777777" w:rsidTr="002025B6">
        <w:tc>
          <w:tcPr>
            <w:tcW w:w="2127" w:type="dxa"/>
          </w:tcPr>
          <w:p w14:paraId="1FF2C881" w14:textId="77777777" w:rsidR="005D5135" w:rsidRPr="003173B8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All-cause mortality</w:t>
            </w:r>
          </w:p>
        </w:tc>
        <w:tc>
          <w:tcPr>
            <w:tcW w:w="814" w:type="dxa"/>
          </w:tcPr>
          <w:p w14:paraId="4002B4C3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0.22</w:t>
            </w:r>
          </w:p>
        </w:tc>
        <w:tc>
          <w:tcPr>
            <w:tcW w:w="1558" w:type="dxa"/>
          </w:tcPr>
          <w:p w14:paraId="42DD63A6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0.06-0.72</w:t>
            </w:r>
          </w:p>
        </w:tc>
        <w:tc>
          <w:tcPr>
            <w:tcW w:w="664" w:type="dxa"/>
          </w:tcPr>
          <w:p w14:paraId="4244A3BB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0.29</w:t>
            </w:r>
          </w:p>
        </w:tc>
        <w:tc>
          <w:tcPr>
            <w:tcW w:w="1236" w:type="dxa"/>
            <w:gridSpan w:val="2"/>
          </w:tcPr>
          <w:p w14:paraId="5E4A2143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0.07-1.25</w:t>
            </w:r>
          </w:p>
        </w:tc>
        <w:tc>
          <w:tcPr>
            <w:tcW w:w="664" w:type="dxa"/>
          </w:tcPr>
          <w:p w14:paraId="5CEAE97F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0.26</w:t>
            </w:r>
          </w:p>
        </w:tc>
        <w:tc>
          <w:tcPr>
            <w:tcW w:w="1194" w:type="dxa"/>
          </w:tcPr>
          <w:p w14:paraId="3B0C8507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0.37-1.13</w:t>
            </w:r>
          </w:p>
        </w:tc>
        <w:tc>
          <w:tcPr>
            <w:tcW w:w="664" w:type="dxa"/>
          </w:tcPr>
          <w:p w14:paraId="6A5839DA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0.18</w:t>
            </w:r>
          </w:p>
        </w:tc>
        <w:tc>
          <w:tcPr>
            <w:tcW w:w="1267" w:type="dxa"/>
          </w:tcPr>
          <w:p w14:paraId="55B05801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0.03-0.97</w:t>
            </w:r>
          </w:p>
        </w:tc>
      </w:tr>
      <w:tr w:rsidR="005D5135" w:rsidRPr="003173B8" w14:paraId="163CF9E4" w14:textId="77777777" w:rsidTr="002025B6">
        <w:tc>
          <w:tcPr>
            <w:tcW w:w="2127" w:type="dxa"/>
          </w:tcPr>
          <w:p w14:paraId="7FC73734" w14:textId="77777777" w:rsidR="005D5135" w:rsidRPr="003173B8" w:rsidRDefault="005D5135" w:rsidP="002025B6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Non-fatal CV events</w:t>
            </w:r>
          </w:p>
        </w:tc>
        <w:tc>
          <w:tcPr>
            <w:tcW w:w="814" w:type="dxa"/>
          </w:tcPr>
          <w:p w14:paraId="189DB6E3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1.00</w:t>
            </w:r>
          </w:p>
        </w:tc>
        <w:tc>
          <w:tcPr>
            <w:tcW w:w="1558" w:type="dxa"/>
          </w:tcPr>
          <w:p w14:paraId="757DD2A4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0.39-2.52</w:t>
            </w:r>
          </w:p>
        </w:tc>
        <w:tc>
          <w:tcPr>
            <w:tcW w:w="664" w:type="dxa"/>
          </w:tcPr>
          <w:p w14:paraId="7706D5E9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2.20</w:t>
            </w:r>
          </w:p>
        </w:tc>
        <w:tc>
          <w:tcPr>
            <w:tcW w:w="1236" w:type="dxa"/>
            <w:gridSpan w:val="2"/>
          </w:tcPr>
          <w:p w14:paraId="5C49410E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0.32-3.29</w:t>
            </w:r>
          </w:p>
        </w:tc>
        <w:tc>
          <w:tcPr>
            <w:tcW w:w="664" w:type="dxa"/>
          </w:tcPr>
          <w:p w14:paraId="0151A835" w14:textId="77777777" w:rsidR="005D5135" w:rsidRPr="003173B8" w:rsidRDefault="005D5135" w:rsidP="002025B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0.75</w:t>
            </w:r>
          </w:p>
        </w:tc>
        <w:tc>
          <w:tcPr>
            <w:tcW w:w="1194" w:type="dxa"/>
          </w:tcPr>
          <w:p w14:paraId="34AE9EDE" w14:textId="77777777" w:rsidR="005D5135" w:rsidRPr="003173B8" w:rsidRDefault="005D5135" w:rsidP="002025B6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0.16-3.48</w:t>
            </w:r>
          </w:p>
        </w:tc>
        <w:tc>
          <w:tcPr>
            <w:tcW w:w="664" w:type="dxa"/>
          </w:tcPr>
          <w:p w14:paraId="2A118B89" w14:textId="77777777" w:rsidR="005D5135" w:rsidRPr="003173B8" w:rsidRDefault="005D5135" w:rsidP="002025B6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1.03</w:t>
            </w:r>
          </w:p>
        </w:tc>
        <w:tc>
          <w:tcPr>
            <w:tcW w:w="1267" w:type="dxa"/>
          </w:tcPr>
          <w:p w14:paraId="7E22C06C" w14:textId="77777777" w:rsidR="005D5135" w:rsidRPr="003173B8" w:rsidRDefault="005D5135" w:rsidP="002025B6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3173B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0.46-2.57</w:t>
            </w:r>
          </w:p>
        </w:tc>
      </w:tr>
    </w:tbl>
    <w:p w14:paraId="3C4B6B6E" w14:textId="77777777" w:rsidR="005D5135" w:rsidRPr="00743DB0" w:rsidRDefault="005D5135" w:rsidP="005D5135">
      <w:pPr>
        <w:spacing w:line="360" w:lineRule="auto"/>
        <w:rPr>
          <w:rFonts w:ascii="Times New Roman" w:hAnsi="Times New Roman" w:cs="Times New Roman"/>
          <w:sz w:val="20"/>
          <w:szCs w:val="20"/>
          <w:lang w:val="en-CA"/>
        </w:rPr>
      </w:pPr>
      <w:r w:rsidRPr="00743DB0">
        <w:rPr>
          <w:rFonts w:ascii="Times New Roman" w:hAnsi="Times New Roman" w:cs="Times New Roman"/>
          <w:sz w:val="20"/>
          <w:szCs w:val="20"/>
          <w:lang w:val="en-CA"/>
        </w:rPr>
        <w:t>Sensitivity 1: Excluding patients aged over 80 years and under 50 years; Sensitivity 2: Excluding patients with eGFR higher than 20 ml/min/1.73m² and lower than 10 ml/min/1.73m²; Sensitivity 3: Excluding patients with proteinuria higher than 5.0 g/day and lower than 0.3 g/day.</w:t>
      </w:r>
    </w:p>
    <w:p w14:paraId="34653F5E" w14:textId="77777777" w:rsidR="005D5135" w:rsidRPr="00743DB0" w:rsidRDefault="005D5135" w:rsidP="005D5135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val="en-CA"/>
        </w:rPr>
      </w:pPr>
    </w:p>
    <w:p w14:paraId="2B3CBBE9" w14:textId="77777777" w:rsidR="005D5135" w:rsidRPr="00743DB0" w:rsidRDefault="005D5135" w:rsidP="005D5135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val="en-CA"/>
        </w:rPr>
      </w:pPr>
    </w:p>
    <w:p w14:paraId="5401AD6A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5F669831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7DE98416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027D3C9A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198A961F" w14:textId="77777777" w:rsidR="005D5135" w:rsidRPr="00743DB0" w:rsidRDefault="005D5135" w:rsidP="005D51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lang w:val="en-CA"/>
        </w:rPr>
      </w:pPr>
      <w:r w:rsidRPr="00743DB0"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  <w:t>Supplementary Figure 1 -</w:t>
      </w:r>
      <w:r w:rsidRPr="00743DB0">
        <w:rPr>
          <w:rFonts w:ascii="Times New Roman" w:hAnsi="Times New Roman" w:cs="Times New Roman"/>
          <w:sz w:val="20"/>
          <w:szCs w:val="20"/>
          <w:lang w:val="en-CA"/>
        </w:rPr>
        <w:t xml:space="preserve"> </w:t>
      </w:r>
      <w:r w:rsidRPr="00743DB0"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  <w:t>Bar Plots with Standard Errors Showing Longitudinal Changes in Key Biochemical Parameters Between Diet and Control Groups</w:t>
      </w:r>
    </w:p>
    <w:p w14:paraId="74ADE340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lang w:val="en-CA"/>
        </w:rPr>
      </w:pPr>
      <w:r w:rsidRPr="00743DB0">
        <w:rPr>
          <w:rFonts w:ascii="Times New Roman" w:hAnsi="Times New Roman" w:cs="Times New Roman"/>
          <w:b/>
          <w:bCs/>
          <w:i/>
          <w:iCs/>
          <w:noProof/>
          <w:sz w:val="20"/>
          <w:szCs w:val="20"/>
          <w:lang w:eastAsia="it-IT"/>
        </w:rPr>
        <w:drawing>
          <wp:inline distT="0" distB="0" distL="0" distR="0" wp14:anchorId="16BE207F" wp14:editId="16F178D6">
            <wp:extent cx="5981408" cy="2965450"/>
            <wp:effectExtent l="0" t="0" r="0" b="0"/>
            <wp:docPr id="1712448484" name="Immagine 1" descr="Immagine che contiene diagramma, Piano, quadrato, line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448484" name="Immagine 1" descr="Immagine che contiene diagramma, Piano, quadrato, line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878" cy="298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403BD" w14:textId="1712F364" w:rsidR="005D5135" w:rsidRPr="003D385D" w:rsidRDefault="003D385D" w:rsidP="005D5135">
      <w:pPr>
        <w:spacing w:line="360" w:lineRule="auto"/>
        <w:rPr>
          <w:rFonts w:ascii="Times New Roman" w:hAnsi="Times New Roman" w:cs="Times New Roman"/>
          <w:b/>
          <w:bCs/>
          <w:color w:val="FF0000"/>
          <w:sz w:val="20"/>
          <w:szCs w:val="20"/>
          <w:lang w:val="en-CA"/>
        </w:rPr>
      </w:pPr>
      <w:r>
        <w:rPr>
          <w:rFonts w:ascii="Times New Roman" w:hAnsi="Times New Roman" w:cs="Times New Roman"/>
          <w:b/>
          <w:bCs/>
          <w:color w:val="FF0000"/>
          <w:sz w:val="20"/>
          <w:szCs w:val="20"/>
          <w:lang w:val="en-CA"/>
        </w:rPr>
        <w:t>Supplementary Fig.2</w:t>
      </w:r>
      <w:r w:rsidR="00173D54">
        <w:rPr>
          <w:rFonts w:ascii="Times New Roman" w:hAnsi="Times New Roman" w:cs="Times New Roman"/>
          <w:b/>
          <w:bCs/>
          <w:color w:val="FF0000"/>
          <w:sz w:val="20"/>
          <w:szCs w:val="20"/>
          <w:lang w:val="en-CA"/>
        </w:rPr>
        <w:t>. Target questions for patients assessment during each visit</w:t>
      </w:r>
    </w:p>
    <w:p w14:paraId="2C566397" w14:textId="4B0D91F2" w:rsidR="005D5135" w:rsidRPr="00743DB0" w:rsidRDefault="00173D54" w:rsidP="005D5135">
      <w:pPr>
        <w:spacing w:line="360" w:lineRule="auto"/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noProof/>
          <w:lang w:val="en-CA"/>
        </w:rPr>
        <w:drawing>
          <wp:inline distT="0" distB="0" distL="0" distR="0" wp14:anchorId="6C215E13" wp14:editId="7E109975">
            <wp:extent cx="3657600" cy="2397511"/>
            <wp:effectExtent l="0" t="0" r="0" b="317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744" cy="240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756E0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2B0C79A3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18A326C7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46135B7C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6FA990EA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57295E49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69130B55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1AA69C8A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04D019C0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3E789665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332E6AA6" w14:textId="77777777" w:rsidR="005D5135" w:rsidRDefault="005D5135" w:rsidP="005D5135">
      <w:pPr>
        <w:spacing w:line="360" w:lineRule="auto"/>
        <w:rPr>
          <w:rFonts w:ascii="Times New Roman" w:hAnsi="Times New Roman" w:cs="Times New Roman"/>
          <w:b/>
          <w:bCs/>
          <w:iCs/>
          <w:sz w:val="20"/>
          <w:szCs w:val="20"/>
          <w:lang w:val="en-CA"/>
        </w:rPr>
      </w:pPr>
    </w:p>
    <w:p w14:paraId="5EDDDACE" w14:textId="77777777" w:rsidR="00FB521A" w:rsidRPr="00173D54" w:rsidRDefault="00FB521A">
      <w:pPr>
        <w:rPr>
          <w:lang w:val="en-US"/>
        </w:rPr>
      </w:pPr>
    </w:p>
    <w:sectPr w:rsidR="00FB521A" w:rsidRPr="00173D54" w:rsidSect="00A43A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845"/>
    <w:rsid w:val="00173D54"/>
    <w:rsid w:val="00206845"/>
    <w:rsid w:val="00210A64"/>
    <w:rsid w:val="003D385D"/>
    <w:rsid w:val="005D5135"/>
    <w:rsid w:val="00A43ABC"/>
    <w:rsid w:val="00AC7631"/>
    <w:rsid w:val="00B454AA"/>
    <w:rsid w:val="00B657BA"/>
    <w:rsid w:val="00FB521A"/>
    <w:rsid w:val="00FD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7A62"/>
  <w15:chartTrackingRefBased/>
  <w15:docId w15:val="{20F42221-8A7C-4E75-88D0-16D81989C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5135"/>
    <w:pPr>
      <w:spacing w:line="278" w:lineRule="auto"/>
    </w:pPr>
    <w:rPr>
      <w:kern w:val="2"/>
      <w:sz w:val="24"/>
      <w:szCs w:val="24"/>
      <w:lang w:val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C763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Gisella Vischini</dc:creator>
  <cp:keywords/>
  <dc:description/>
  <cp:lastModifiedBy>Gisella Vischini</cp:lastModifiedBy>
  <cp:revision>5</cp:revision>
  <dcterms:created xsi:type="dcterms:W3CDTF">2025-04-30T10:47:00Z</dcterms:created>
  <dcterms:modified xsi:type="dcterms:W3CDTF">2025-06-03T12:52:00Z</dcterms:modified>
</cp:coreProperties>
</file>